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11022"/>
      </w:tblGrid>
      <w:tr w:rsidR="00232209" w:rsidRPr="00927CEF" w14:paraId="07E318E2" w14:textId="77777777" w:rsidTr="00D87489">
        <w:trPr>
          <w:trHeight w:val="425"/>
        </w:trPr>
        <w:tc>
          <w:tcPr>
            <w:tcW w:w="2934" w:type="dxa"/>
            <w:shd w:val="clear" w:color="auto" w:fill="D9D9D9" w:themeFill="background1" w:themeFillShade="D9"/>
            <w:vAlign w:val="center"/>
          </w:tcPr>
          <w:p w14:paraId="2A98E0D4" w14:textId="77777777" w:rsidR="00232209" w:rsidRPr="00927CEF" w:rsidRDefault="00232209" w:rsidP="00D8748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</w:t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 xml:space="preserve"> przedsięwzięcia</w:t>
            </w:r>
          </w:p>
        </w:tc>
        <w:tc>
          <w:tcPr>
            <w:tcW w:w="11022" w:type="dxa"/>
            <w:shd w:val="clear" w:color="auto" w:fill="D9D9D9" w:themeFill="background1" w:themeFillShade="D9"/>
            <w:vAlign w:val="center"/>
          </w:tcPr>
          <w:p w14:paraId="45F5F5CA" w14:textId="76D7EA00" w:rsidR="00232209" w:rsidRPr="00081090" w:rsidRDefault="00DD77E0" w:rsidP="00D8748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B</w:t>
            </w:r>
            <w:r w:rsidRPr="00DD77E0">
              <w:rPr>
                <w:rFonts w:cstheme="minorHAnsi"/>
                <w:b/>
                <w:bCs/>
                <w:sz w:val="24"/>
                <w:szCs w:val="24"/>
              </w:rPr>
              <w:t>udowa</w:t>
            </w:r>
            <w:r w:rsidR="003048D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DD77E0">
              <w:rPr>
                <w:rFonts w:cstheme="minorHAnsi"/>
                <w:b/>
                <w:bCs/>
                <w:sz w:val="24"/>
                <w:szCs w:val="24"/>
              </w:rPr>
              <w:t>umocnień brzegowych</w:t>
            </w:r>
          </w:p>
        </w:tc>
      </w:tr>
      <w:tr w:rsidR="00232209" w:rsidRPr="00927CEF" w14:paraId="64C61A12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2E3E490E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Możliwa lokalizacja przedsięwzięcia</w:t>
            </w:r>
            <w:r>
              <w:rPr>
                <w:rFonts w:cstheme="minorHAnsi"/>
                <w:sz w:val="20"/>
                <w:szCs w:val="20"/>
              </w:rPr>
              <w:t xml:space="preserve"> (odcinki linii brzegowej)</w:t>
            </w:r>
          </w:p>
        </w:tc>
        <w:tc>
          <w:tcPr>
            <w:tcW w:w="11022" w:type="dxa"/>
            <w:vAlign w:val="center"/>
          </w:tcPr>
          <w:p w14:paraId="043FDAAF" w14:textId="77777777" w:rsidR="0038034E" w:rsidRPr="0038034E" w:rsidRDefault="00232209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38034E">
              <w:rPr>
                <w:rFonts w:cstheme="minorHAnsi"/>
                <w:bCs/>
                <w:sz w:val="20"/>
                <w:szCs w:val="20"/>
                <w:u w:val="single"/>
              </w:rPr>
              <w:t>Odcinki wybrzeża w kompetencji UMG</w:t>
            </w:r>
            <w:r w:rsidRPr="0038034E">
              <w:rPr>
                <w:rFonts w:cstheme="minorHAnsi"/>
                <w:bCs/>
                <w:sz w:val="20"/>
                <w:szCs w:val="20"/>
              </w:rPr>
              <w:t>:</w:t>
            </w:r>
            <w:r w:rsidR="004440D7" w:rsidRPr="0038034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38034E" w:rsidRPr="0038034E">
              <w:rPr>
                <w:rFonts w:cstheme="minorHAnsi"/>
                <w:sz w:val="20"/>
                <w:szCs w:val="20"/>
              </w:rPr>
              <w:t>Gdańsk Górki Wschodnie (km 56,9–59,0), ujście Wisły Śmiałej – Gdańsk Stogi (km 60,1–63,05), Gdańsk Nowy Port – Gdynia Orłowo (km 69,2–81,1), Rzucewo (km 109,4–110,1), Puck 1 (km 114,0–114,7), Puck 2 (km 115,37–115,58) , Puck 3 (km 116,7–117,0), Władysławowo – Jurata (od nasady półwyspu do km 23,5), Cypel półwyspu – Hel (z wyłączeniem portu rybackiego) (km 35,5–38,0), Jurata  (km 44,4–48,3), Jastarnia – Kuźnica (km 49,20–62,20), Kuźnica – Chałupy (km 63,55–65,1), Władysławowo (km 126,0–128,0), Władysławowo – Jastrzębia Góra (km 128,5–134,6), Jastrzębia Góra - Karwieńskie Błota (km 134,6–143,5), Łeba (km 180,5–183,0), Rowy (km 217,2–219,0), Ustka (km 229,0–233,5);</w:t>
            </w:r>
          </w:p>
          <w:p w14:paraId="668DB0D7" w14:textId="019EFAC3" w:rsidR="00232209" w:rsidRPr="0038034E" w:rsidRDefault="00232209" w:rsidP="00487695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38034E">
              <w:rPr>
                <w:rFonts w:cstheme="minorHAnsi"/>
                <w:sz w:val="20"/>
                <w:szCs w:val="20"/>
                <w:u w:val="single"/>
              </w:rPr>
              <w:t>Odcinki wybrzeża w kompetencji UMS</w:t>
            </w:r>
            <w:r w:rsidRPr="0038034E">
              <w:rPr>
                <w:rFonts w:cstheme="minorHAnsi"/>
                <w:sz w:val="20"/>
                <w:szCs w:val="20"/>
              </w:rPr>
              <w:t xml:space="preserve">: </w:t>
            </w:r>
            <w:r w:rsidR="000B78B2" w:rsidRPr="000B78B2">
              <w:rPr>
                <w:rFonts w:cstheme="minorHAnsi"/>
                <w:sz w:val="20"/>
                <w:szCs w:val="20"/>
              </w:rPr>
              <w:t>Jarosławiec 2 (km 243,85–248,8), Jarosławiec 4 (km 249,5–250,9), Jarosławiec 5 (km 252,0–254,55), Jarosławiec 6 (km 254,65-256,5), Mierzeja Jeziora Kopań (km 256,5–267,0), Darłówko (km 267,0–270,4), Dąbki (km 277,0–278,12), Mierzeje Jeziora Bukowo i Jamno (km 278,20–298,00), Ustronie Morskie 1 (km 301,0–304,59), Ustronie Morskie 2 (km 304,73-313,65), Ustronie Morskie 3 (km 315,95 - 317,25), Ustronie Morskie 4 (km 318,00 - 320,71) , Ustronie Morskie 5 (km 320,8-324,0), Kołobrzeg 1 (km 324,0–333,97), Kołobrzeg 2 (km 334,12 - 339,5), Dźwirzyno (km 342,9–345,42), Mrzeżyno 1 (km 345,56–352,25), Mrzeżyno 2 (km 352,4–353,70), Niechorze 1 (km 360,7–366,97), Niechorze 2 (km 367,19–371,66), Niechorze (km 371,82–380,00), Mierzeja Dziwnowska 1 (km 385,4–391,4), Mierzeja Dziwnowska 2 (km 391,49–396,2), Międzyzdroje (km 411,72–412,75), Międzyzdroje (km 412,85–414,50), Zalew Szczeciński wraz ze Świną, Dziwną oraz Zalewem Kamieńskim</w:t>
            </w:r>
            <w:r w:rsidR="00B85106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2209" w:rsidRPr="00927CEF" w14:paraId="4CEA8B25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1EE308F2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 xml:space="preserve">Obszary chronione w zasięgu </w:t>
            </w:r>
            <w:r>
              <w:rPr>
                <w:rFonts w:cstheme="minorHAnsi"/>
                <w:sz w:val="20"/>
                <w:szCs w:val="20"/>
              </w:rPr>
              <w:t>odcinka linii brzegowej</w:t>
            </w:r>
          </w:p>
          <w:p w14:paraId="06DAEEAE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(w przypadku realizacji działań na całej długości wskazanych odcinków</w:t>
            </w:r>
            <w:r>
              <w:rPr>
                <w:rFonts w:cstheme="minorHAnsi"/>
                <w:sz w:val="20"/>
                <w:szCs w:val="20"/>
              </w:rPr>
              <w:t xml:space="preserve"> brzegu morskiego</w:t>
            </w:r>
            <w:r w:rsidRPr="00927CEF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022" w:type="dxa"/>
            <w:vAlign w:val="center"/>
          </w:tcPr>
          <w:p w14:paraId="1803369F" w14:textId="443B2205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Obszary </w:t>
            </w: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Natura 2000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FB52D5" w:rsidRPr="00FB52D5">
              <w:rPr>
                <w:rFonts w:cstheme="minorHAnsi"/>
                <w:bCs/>
                <w:sz w:val="20"/>
                <w:szCs w:val="20"/>
              </w:rPr>
              <w:t>Pobrzeże Słowińskie, Ujście Wisły, Zatoka Pucka, Bagna Rozwarowskie, Delta Świny, Dolina Dolnej Odry, Łąki Skoszewskie, Zalew Szczeciński, Wybrzeże Trzebiatowskie, Zalew Kamieński i Dziwna, Puszcza Goleniowska, Przybrzeżne wody Bałtyku, Zatoka Pomorska, Ostoja Słowińska, Dolina Wieprzy i Studnicy, Ostoja w Ujściu Wisły, Kaszubskie Klify, Klify Poddębskie, Klify i Rafy Kamienne Orłowa, Trzebiatowsko-Kołobrzeski Pas Nadmorski, Ujście Odry i Zalew Szczeciński, Wolin i Uznam, Uroczyska w Lasach Stepnickich, Dolna Odra, Jezioro Bukowo, Jezioro Kopań, Jezioro Wicko i Modelskie Wydmy, Ostoja na Zatoce Pomorskiej, Zatoka Pucka i Półwysep Helski</w:t>
            </w:r>
            <w:r w:rsidR="00FB52D5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E532816" w14:textId="0D0766D4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narodowe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Woliński Park Narodowy</w:t>
            </w:r>
          </w:p>
          <w:p w14:paraId="6735A1EA" w14:textId="6BA00BF1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Białodrzew Kopicki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Dolina Chłapowska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Klif w Dziwnówku</w:t>
            </w:r>
            <w:r w:rsidR="00B253A3">
              <w:rPr>
                <w:rFonts w:cstheme="minorHAnsi"/>
                <w:bCs/>
                <w:sz w:val="20"/>
                <w:szCs w:val="20"/>
              </w:rPr>
              <w:t>,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Klif w Łukęcinie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Ptasi Raj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Kępa Redłowska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Olszanka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Przylądek Rozewski</w:t>
            </w:r>
            <w:r w:rsidR="00B253A3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7F857F" w14:textId="54DDD55A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krajobrazowe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Nadmorski Park Krajobrazowy</w:t>
            </w:r>
            <w:r w:rsidR="00B253A3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0313886" w14:textId="38274063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Obszary chronionego krajobrazu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Koszaliński Pas Nadmorski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Pas Pobrzeża na zachód od Ustki (woj. zachodniopomorskie)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Pas Pobrzeża na Wschód od Ustki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Wyspy Sobieszewskiej</w:t>
            </w:r>
            <w:r w:rsidR="00B253A3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B5228EB" w14:textId="72CE9337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Zespół przyrodniczo-krajobrazowy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Helski Cypel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Dębina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Torfowiska Uznamskie</w:t>
            </w:r>
            <w:r w:rsidR="00B253A3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713C7F2" w14:textId="26A4B4B9" w:rsidR="00232209" w:rsidRPr="00927CEF" w:rsidRDefault="00232209" w:rsidP="0038034E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Użytek ekologiczny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Torfowe Kłyle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Martwa Dziwna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Półwysep Rów</w:t>
            </w:r>
            <w:r w:rsidR="00B253A3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Ekopark Wschodni</w:t>
            </w:r>
            <w:r w:rsidR="004B50B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61858C24" w14:textId="77777777" w:rsidR="00232209" w:rsidRDefault="00232209"/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5571"/>
        <w:gridCol w:w="5451"/>
      </w:tblGrid>
      <w:tr w:rsidR="00232209" w:rsidRPr="00927CEF" w14:paraId="6E7BE4F6" w14:textId="77777777" w:rsidTr="00487695">
        <w:trPr>
          <w:trHeight w:val="462"/>
          <w:tblHeader/>
        </w:trPr>
        <w:tc>
          <w:tcPr>
            <w:tcW w:w="1395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8EA93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lastRenderedPageBreak/>
              <w:br w:type="column"/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>Przewidywane oddziaływania na środowisko</w:t>
            </w:r>
          </w:p>
        </w:tc>
      </w:tr>
      <w:tr w:rsidR="00232209" w:rsidRPr="00927CEF" w14:paraId="096089B2" w14:textId="77777777" w:rsidTr="00487695">
        <w:trPr>
          <w:trHeight w:val="444"/>
          <w:tblHeader/>
        </w:trPr>
        <w:tc>
          <w:tcPr>
            <w:tcW w:w="2934" w:type="dxa"/>
            <w:shd w:val="clear" w:color="auto" w:fill="F2F2F2" w:themeFill="background1" w:themeFillShade="F2"/>
            <w:vAlign w:val="center"/>
          </w:tcPr>
          <w:p w14:paraId="220BB039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Komponent środowiska</w:t>
            </w:r>
          </w:p>
        </w:tc>
        <w:tc>
          <w:tcPr>
            <w:tcW w:w="5571" w:type="dxa"/>
            <w:shd w:val="clear" w:color="auto" w:fill="F2F2F2" w:themeFill="background1" w:themeFillShade="F2"/>
            <w:vAlign w:val="center"/>
          </w:tcPr>
          <w:p w14:paraId="3574421D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realizacji</w:t>
            </w:r>
          </w:p>
        </w:tc>
        <w:tc>
          <w:tcPr>
            <w:tcW w:w="5451" w:type="dxa"/>
            <w:shd w:val="clear" w:color="auto" w:fill="F2F2F2" w:themeFill="background1" w:themeFillShade="F2"/>
            <w:vAlign w:val="center"/>
          </w:tcPr>
          <w:p w14:paraId="48193058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eksploatacji</w:t>
            </w:r>
          </w:p>
        </w:tc>
      </w:tr>
      <w:tr w:rsidR="00232209" w:rsidRPr="00927CEF" w14:paraId="1FAC63EC" w14:textId="77777777" w:rsidTr="00D87489">
        <w:tc>
          <w:tcPr>
            <w:tcW w:w="2934" w:type="dxa"/>
            <w:vAlign w:val="center"/>
          </w:tcPr>
          <w:p w14:paraId="578F3074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Ziemia i gleba</w:t>
            </w:r>
          </w:p>
        </w:tc>
        <w:tc>
          <w:tcPr>
            <w:tcW w:w="5571" w:type="dxa"/>
            <w:vAlign w:val="center"/>
          </w:tcPr>
          <w:p w14:paraId="2B42B439" w14:textId="77777777" w:rsidR="0023220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lokalne przekształcenie terenu, prowadzenie prac ziemnych, ryzyko skażenia gleby w wyniku awarii sprzętu budowlanego</w:t>
            </w:r>
          </w:p>
        </w:tc>
        <w:tc>
          <w:tcPr>
            <w:tcW w:w="5451" w:type="dxa"/>
            <w:vAlign w:val="center"/>
          </w:tcPr>
          <w:p w14:paraId="3908BFA1" w14:textId="6A2B2DE0" w:rsidR="00D109A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ochrona powierzchni ziemi przed erozją brzegu morskiego oraz stabilizacja położenia linii brzegowej</w:t>
            </w:r>
            <w:r w:rsidR="00D109A9" w:rsidRPr="00D109A9">
              <w:rPr>
                <w:rFonts w:cstheme="minorHAnsi"/>
                <w:sz w:val="20"/>
                <w:szCs w:val="20"/>
              </w:rPr>
              <w:t>, zapobieganie ruchom masowym na wybrzeżach klifowych</w:t>
            </w:r>
          </w:p>
        </w:tc>
      </w:tr>
      <w:tr w:rsidR="00232209" w:rsidRPr="00927CEF" w14:paraId="0B42730B" w14:textId="77777777" w:rsidTr="00D87489">
        <w:tc>
          <w:tcPr>
            <w:tcW w:w="2934" w:type="dxa"/>
            <w:vAlign w:val="center"/>
          </w:tcPr>
          <w:p w14:paraId="338225CF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Wody powierzchniowe</w:t>
            </w:r>
          </w:p>
        </w:tc>
        <w:tc>
          <w:tcPr>
            <w:tcW w:w="5571" w:type="dxa"/>
            <w:vAlign w:val="center"/>
          </w:tcPr>
          <w:p w14:paraId="1BEC4016" w14:textId="3F184561" w:rsidR="0023220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możliwość zanieczyszczenia wód poprzez spływy powierzchniowe, wycieki z maszyn</w:t>
            </w:r>
            <w:r w:rsidR="00D109A9" w:rsidRPr="00D109A9">
              <w:rPr>
                <w:rFonts w:cstheme="minorHAnsi"/>
                <w:sz w:val="20"/>
                <w:szCs w:val="20"/>
              </w:rPr>
              <w:t>, wzbudzanie osadów dennych</w:t>
            </w:r>
          </w:p>
        </w:tc>
        <w:tc>
          <w:tcPr>
            <w:tcW w:w="5451" w:type="dxa"/>
            <w:vAlign w:val="center"/>
          </w:tcPr>
          <w:p w14:paraId="6AB70B89" w14:textId="0C4E0FE5" w:rsidR="00232209" w:rsidRPr="00D109A9" w:rsidRDefault="00D109A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możliwe</w:t>
            </w:r>
            <w:r w:rsidR="00232209" w:rsidRPr="00D109A9">
              <w:rPr>
                <w:rFonts w:cstheme="minorHAnsi"/>
                <w:sz w:val="20"/>
                <w:szCs w:val="20"/>
              </w:rPr>
              <w:t xml:space="preserve"> zmiany </w:t>
            </w:r>
            <w:r w:rsidRPr="00D109A9">
              <w:rPr>
                <w:rFonts w:cstheme="minorHAnsi"/>
                <w:sz w:val="20"/>
                <w:szCs w:val="20"/>
              </w:rPr>
              <w:t>hydromorfologiczne (kształtowanie lokalnych prądów morskich, zmiany w procesach sedymentacji piasków i mułów)</w:t>
            </w:r>
          </w:p>
        </w:tc>
      </w:tr>
      <w:tr w:rsidR="00232209" w:rsidRPr="00927CEF" w14:paraId="610E4069" w14:textId="77777777" w:rsidTr="00D87489">
        <w:tc>
          <w:tcPr>
            <w:tcW w:w="2934" w:type="dxa"/>
            <w:vAlign w:val="center"/>
          </w:tcPr>
          <w:p w14:paraId="0F443288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Wody podziemne</w:t>
            </w:r>
          </w:p>
        </w:tc>
        <w:tc>
          <w:tcPr>
            <w:tcW w:w="5571" w:type="dxa"/>
            <w:vAlign w:val="center"/>
          </w:tcPr>
          <w:p w14:paraId="46535476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możliwość zanieczyszczenia wód podziemnych w wyniku wykorzystania maszyn i sprzętu</w:t>
            </w:r>
          </w:p>
        </w:tc>
        <w:tc>
          <w:tcPr>
            <w:tcW w:w="5451" w:type="dxa"/>
            <w:vAlign w:val="center"/>
          </w:tcPr>
          <w:p w14:paraId="6F58BCEA" w14:textId="77777777" w:rsidR="00624328" w:rsidRPr="00624328" w:rsidRDefault="00624328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wprowadzenie barier hydraulicznych</w:t>
            </w:r>
            <w:r w:rsidR="00232209" w:rsidRPr="00624328">
              <w:rPr>
                <w:rFonts w:cstheme="minorHAnsi"/>
                <w:sz w:val="20"/>
                <w:szCs w:val="20"/>
              </w:rPr>
              <w:t xml:space="preserve">; </w:t>
            </w:r>
          </w:p>
          <w:p w14:paraId="6672E6D4" w14:textId="678EE0F3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zmiany kierunków przepływu wód podziemnych</w:t>
            </w:r>
          </w:p>
        </w:tc>
      </w:tr>
      <w:tr w:rsidR="00232209" w:rsidRPr="00927CEF" w14:paraId="63D45D8A" w14:textId="77777777" w:rsidTr="00D87489">
        <w:tc>
          <w:tcPr>
            <w:tcW w:w="2934" w:type="dxa"/>
            <w:vAlign w:val="center"/>
          </w:tcPr>
          <w:p w14:paraId="7AC9DD79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Klimat i powietrze</w:t>
            </w:r>
          </w:p>
        </w:tc>
        <w:tc>
          <w:tcPr>
            <w:tcW w:w="5571" w:type="dxa"/>
            <w:vAlign w:val="center"/>
          </w:tcPr>
          <w:p w14:paraId="2D42694A" w14:textId="199273F3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emisja gazów do powietrza w wyniku spalania paliw w silnikach maszyn, pojazdów i jednostek pływających</w:t>
            </w:r>
            <w:r w:rsidR="00487695" w:rsidRPr="00624328">
              <w:rPr>
                <w:rFonts w:cstheme="minorHAnsi"/>
                <w:sz w:val="20"/>
                <w:szCs w:val="20"/>
              </w:rPr>
              <w:t>,</w:t>
            </w:r>
            <w:r w:rsidRPr="00624328">
              <w:rPr>
                <w:rFonts w:cstheme="minorHAnsi"/>
                <w:sz w:val="20"/>
                <w:szCs w:val="20"/>
              </w:rPr>
              <w:t xml:space="preserve"> emisja pyłów w wyniku prowadzonych prac</w:t>
            </w:r>
          </w:p>
        </w:tc>
        <w:tc>
          <w:tcPr>
            <w:tcW w:w="5451" w:type="dxa"/>
            <w:vAlign w:val="center"/>
          </w:tcPr>
          <w:p w14:paraId="67CDF8F3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56991BDF" w14:textId="77777777" w:rsidTr="00D87489">
        <w:tc>
          <w:tcPr>
            <w:tcW w:w="2934" w:type="dxa"/>
            <w:vAlign w:val="center"/>
          </w:tcPr>
          <w:p w14:paraId="65155A1C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Krajobraz</w:t>
            </w:r>
          </w:p>
        </w:tc>
        <w:tc>
          <w:tcPr>
            <w:tcW w:w="5571" w:type="dxa"/>
            <w:vAlign w:val="center"/>
          </w:tcPr>
          <w:p w14:paraId="7F2EE259" w14:textId="63681AF8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 xml:space="preserve">krótkotrwałe i lokalne pogorszenie walorów krajobrazowych, w wyniku obecności maszyn i </w:t>
            </w:r>
            <w:r w:rsidR="00624328" w:rsidRPr="00624328">
              <w:rPr>
                <w:rFonts w:cstheme="minorHAnsi"/>
                <w:sz w:val="20"/>
                <w:szCs w:val="20"/>
              </w:rPr>
              <w:t>pojazdów</w:t>
            </w:r>
            <w:r w:rsidRPr="00624328">
              <w:rPr>
                <w:rFonts w:cstheme="minorHAnsi"/>
                <w:sz w:val="20"/>
                <w:szCs w:val="20"/>
              </w:rPr>
              <w:t>; czasowe przesłonięcie osi widokowych</w:t>
            </w:r>
            <w:r w:rsidR="00487695" w:rsidRPr="00624328">
              <w:rPr>
                <w:rFonts w:cstheme="minorHAnsi"/>
                <w:sz w:val="20"/>
                <w:szCs w:val="20"/>
              </w:rPr>
              <w:t xml:space="preserve">, </w:t>
            </w:r>
            <w:r w:rsidRPr="00624328">
              <w:rPr>
                <w:rFonts w:cstheme="minorHAnsi"/>
                <w:sz w:val="20"/>
                <w:szCs w:val="20"/>
              </w:rPr>
              <w:t>lokalne zmętnienie wód morskich</w:t>
            </w:r>
          </w:p>
        </w:tc>
        <w:tc>
          <w:tcPr>
            <w:tcW w:w="5451" w:type="dxa"/>
            <w:vAlign w:val="center"/>
          </w:tcPr>
          <w:p w14:paraId="4333149A" w14:textId="77777777" w:rsidR="00232209" w:rsidRPr="00624328" w:rsidRDefault="00624328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zwiększenie zasięgu antropogenicznych elementów środowiska w lokalnym krajobrazie;</w:t>
            </w:r>
          </w:p>
          <w:p w14:paraId="72739146" w14:textId="3D26F044" w:rsidR="00624328" w:rsidRPr="00624328" w:rsidRDefault="00624328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ograniczenie długofalowej utraty siedlisk przyrodniczych i walorów krajobrazowych obszarów nadmorskich poprzez spowolnienie procesów erozyjnych</w:t>
            </w:r>
          </w:p>
        </w:tc>
      </w:tr>
      <w:tr w:rsidR="00232209" w:rsidRPr="00927CEF" w14:paraId="359A2FAC" w14:textId="77777777" w:rsidTr="00D87489">
        <w:tc>
          <w:tcPr>
            <w:tcW w:w="2934" w:type="dxa"/>
            <w:vAlign w:val="center"/>
          </w:tcPr>
          <w:p w14:paraId="4ACF1426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Zasoby naturalne</w:t>
            </w:r>
          </w:p>
        </w:tc>
        <w:tc>
          <w:tcPr>
            <w:tcW w:w="5571" w:type="dxa"/>
            <w:vAlign w:val="center"/>
          </w:tcPr>
          <w:p w14:paraId="630190F4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wykorzystanie surowców</w:t>
            </w:r>
            <w:r w:rsidR="00624328" w:rsidRPr="00624328">
              <w:rPr>
                <w:rFonts w:cstheme="minorHAnsi"/>
                <w:sz w:val="20"/>
                <w:szCs w:val="20"/>
              </w:rPr>
              <w:t>;</w:t>
            </w:r>
          </w:p>
          <w:p w14:paraId="0544E35B" w14:textId="73A0C031" w:rsidR="00624328" w:rsidRPr="00624328" w:rsidRDefault="00624328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możliwa wycinka drzew i krzewów</w:t>
            </w:r>
          </w:p>
        </w:tc>
        <w:tc>
          <w:tcPr>
            <w:tcW w:w="5451" w:type="dxa"/>
            <w:vAlign w:val="center"/>
          </w:tcPr>
          <w:p w14:paraId="3ED2BC9A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675187B8" w14:textId="77777777" w:rsidTr="00D87489">
        <w:tc>
          <w:tcPr>
            <w:tcW w:w="2934" w:type="dxa"/>
            <w:vAlign w:val="center"/>
          </w:tcPr>
          <w:p w14:paraId="77239726" w14:textId="77777777" w:rsidR="00232209" w:rsidRPr="00E6712D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E6712D">
              <w:rPr>
                <w:rFonts w:ascii="Calibri" w:hAnsi="Calibri" w:cs="Calibri"/>
                <w:sz w:val="20"/>
                <w:szCs w:val="20"/>
              </w:rPr>
              <w:t>Różnorodność biologiczna, obszary chronione</w:t>
            </w:r>
          </w:p>
        </w:tc>
        <w:tc>
          <w:tcPr>
            <w:tcW w:w="5571" w:type="dxa"/>
            <w:vAlign w:val="center"/>
          </w:tcPr>
          <w:p w14:paraId="2B6A7974" w14:textId="72C70F77" w:rsidR="00232209" w:rsidRPr="00E6712D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6712D">
              <w:rPr>
                <w:rFonts w:cstheme="minorHAnsi"/>
                <w:sz w:val="20"/>
                <w:szCs w:val="20"/>
              </w:rPr>
              <w:t xml:space="preserve">płoszenie i niepokojenie zwierząt, </w:t>
            </w:r>
            <w:r w:rsidR="00E6712D" w:rsidRPr="00E6712D">
              <w:rPr>
                <w:rFonts w:cstheme="minorHAnsi"/>
                <w:sz w:val="20"/>
                <w:szCs w:val="20"/>
              </w:rPr>
              <w:t xml:space="preserve">niszczenie siedlisk, niszczenie gniazd i lęgów ptaków plażowych, </w:t>
            </w:r>
            <w:r w:rsidRPr="00E6712D">
              <w:rPr>
                <w:rFonts w:cstheme="minorHAnsi"/>
                <w:sz w:val="20"/>
                <w:szCs w:val="20"/>
              </w:rPr>
              <w:t>zubożenie struktury oraz biomasy bezkręgowców bentosowych w miejscach prowadzonych prac, chwilowe zwiększeniu dostępu do pokarmu dla ptactwa</w:t>
            </w:r>
            <w:r w:rsidR="00E6712D" w:rsidRPr="00E6712D">
              <w:rPr>
                <w:rFonts w:cstheme="minorHAnsi"/>
                <w:sz w:val="20"/>
                <w:szCs w:val="20"/>
              </w:rPr>
              <w:t xml:space="preserve">, zubożenie bazy żerowej dla ryb i ptaków bentofagicznych nurkujących, </w:t>
            </w:r>
            <w:r w:rsidRPr="00E6712D">
              <w:rPr>
                <w:rFonts w:cstheme="minorHAnsi"/>
                <w:sz w:val="20"/>
                <w:szCs w:val="20"/>
              </w:rPr>
              <w:t xml:space="preserve">okresowe i miejscowe zakłócenia migracji </w:t>
            </w:r>
            <w:r w:rsidR="00E6712D" w:rsidRPr="00E6712D">
              <w:rPr>
                <w:rFonts w:cstheme="minorHAnsi"/>
                <w:sz w:val="20"/>
                <w:szCs w:val="20"/>
              </w:rPr>
              <w:t>organizmów morskich</w:t>
            </w:r>
            <w:r w:rsidRPr="00E6712D">
              <w:rPr>
                <w:rFonts w:cstheme="minorHAnsi"/>
                <w:sz w:val="20"/>
                <w:szCs w:val="20"/>
              </w:rPr>
              <w:t>, negatywne oddziaływanie na stan elementów ekosystemu Bałtyku, w sytuacji zaistnienia zdarzeń awaryjnych; lokalne niszczenie siedlisk nadmorskich</w:t>
            </w:r>
            <w:r w:rsidR="00E6712D" w:rsidRPr="00E6712D">
              <w:rPr>
                <w:rFonts w:cstheme="minorHAnsi"/>
                <w:sz w:val="20"/>
                <w:szCs w:val="20"/>
              </w:rPr>
              <w:t>, eliminacja roślinności pionierskiej na siedliskach nadbrzeżnych piasków, wabienie ptaków przez sztuczne światło</w:t>
            </w:r>
          </w:p>
        </w:tc>
        <w:tc>
          <w:tcPr>
            <w:tcW w:w="5451" w:type="dxa"/>
            <w:vAlign w:val="center"/>
          </w:tcPr>
          <w:p w14:paraId="12C1B148" w14:textId="77777777" w:rsidR="00232209" w:rsidRPr="006852CA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852CA">
              <w:rPr>
                <w:rFonts w:cstheme="minorHAnsi"/>
                <w:sz w:val="20"/>
                <w:szCs w:val="20"/>
              </w:rPr>
              <w:t>ochrona cennych siedlisk wydmowych i klifowych przed wpływem morza i erozją morską</w:t>
            </w:r>
            <w:r w:rsidR="00E6712D" w:rsidRPr="006852CA">
              <w:rPr>
                <w:rFonts w:cstheme="minorHAnsi"/>
                <w:sz w:val="20"/>
                <w:szCs w:val="20"/>
              </w:rPr>
              <w:t>;</w:t>
            </w:r>
          </w:p>
          <w:p w14:paraId="2EC2194E" w14:textId="1FD9A581" w:rsidR="00E6712D" w:rsidRPr="006852CA" w:rsidRDefault="00E6712D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852CA">
              <w:rPr>
                <w:rFonts w:cstheme="minorHAnsi"/>
                <w:sz w:val="20"/>
                <w:szCs w:val="20"/>
              </w:rPr>
              <w:t>powstanie nowych, sztucznych siedlisk lęgowych</w:t>
            </w:r>
            <w:r w:rsidRPr="006852CA">
              <w:rPr>
                <w:sz w:val="20"/>
                <w:szCs w:val="20"/>
              </w:rPr>
              <w:t xml:space="preserve"> ptaków w okresie zimowania i migracji</w:t>
            </w:r>
          </w:p>
        </w:tc>
      </w:tr>
      <w:tr w:rsidR="00232209" w:rsidRPr="00927CEF" w14:paraId="6A7B0AF0" w14:textId="77777777" w:rsidTr="00D87489">
        <w:tc>
          <w:tcPr>
            <w:tcW w:w="2934" w:type="dxa"/>
            <w:vAlign w:val="center"/>
          </w:tcPr>
          <w:p w14:paraId="3DD09B80" w14:textId="77777777" w:rsidR="00232209" w:rsidRPr="002C4A85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Ludzie i dobra materialne</w:t>
            </w:r>
          </w:p>
        </w:tc>
        <w:tc>
          <w:tcPr>
            <w:tcW w:w="5571" w:type="dxa"/>
            <w:vAlign w:val="center"/>
          </w:tcPr>
          <w:p w14:paraId="06EA486F" w14:textId="6CC3D6CA" w:rsidR="00232209" w:rsidRPr="002C4A85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zwiększona emisja wibracji i hałasu związana z pracą sprzętu używanego do prac terenowych, okresowy wzrost emisji pyłów</w:t>
            </w:r>
          </w:p>
        </w:tc>
        <w:tc>
          <w:tcPr>
            <w:tcW w:w="5451" w:type="dxa"/>
            <w:vAlign w:val="center"/>
          </w:tcPr>
          <w:p w14:paraId="3F2ED162" w14:textId="080075B6" w:rsidR="002C4A85" w:rsidRPr="002C4A85" w:rsidRDefault="002C4A8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poprawa bezpieczeństwa ludzi i mienia;</w:t>
            </w:r>
          </w:p>
          <w:p w14:paraId="64E97003" w14:textId="0A8C308A" w:rsidR="00232209" w:rsidRPr="002C4A85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rozwój funkcji turystyczno-wypoczynkowej i wzrost dobrobytu mieszkańców gmin nadmorskich</w:t>
            </w:r>
          </w:p>
        </w:tc>
      </w:tr>
      <w:tr w:rsidR="00232209" w:rsidRPr="00927CEF" w14:paraId="46BDE101" w14:textId="77777777" w:rsidTr="00D87489">
        <w:tc>
          <w:tcPr>
            <w:tcW w:w="2934" w:type="dxa"/>
            <w:vAlign w:val="center"/>
          </w:tcPr>
          <w:p w14:paraId="0D5F8FF4" w14:textId="77777777" w:rsidR="00232209" w:rsidRPr="002C4A85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Zabytki</w:t>
            </w:r>
          </w:p>
        </w:tc>
        <w:tc>
          <w:tcPr>
            <w:tcW w:w="5571" w:type="dxa"/>
            <w:vAlign w:val="center"/>
          </w:tcPr>
          <w:p w14:paraId="2622334C" w14:textId="3955E2FF" w:rsidR="00232209" w:rsidRPr="002C4A85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naruszenie lub zniszczenie nieznanych jeszcze zabytków archeologicznych</w:t>
            </w:r>
          </w:p>
        </w:tc>
        <w:tc>
          <w:tcPr>
            <w:tcW w:w="5451" w:type="dxa"/>
            <w:vAlign w:val="center"/>
          </w:tcPr>
          <w:p w14:paraId="0916B22B" w14:textId="70BF2CAD" w:rsidR="00232209" w:rsidRPr="002C4A85" w:rsidRDefault="002C4A8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ochrona zabytków przed zalaniem, podtopieniem</w:t>
            </w:r>
          </w:p>
        </w:tc>
      </w:tr>
    </w:tbl>
    <w:p w14:paraId="4870CDED" w14:textId="77777777" w:rsidR="00232209" w:rsidRDefault="00232209" w:rsidP="004767E3"/>
    <w:sectPr w:rsidR="00232209" w:rsidSect="00AB284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69BEA" w14:textId="77777777" w:rsidR="00BA6858" w:rsidRDefault="00BA6858" w:rsidP="00487695">
      <w:pPr>
        <w:spacing w:after="0" w:line="240" w:lineRule="auto"/>
      </w:pPr>
      <w:r>
        <w:separator/>
      </w:r>
    </w:p>
  </w:endnote>
  <w:endnote w:type="continuationSeparator" w:id="0">
    <w:p w14:paraId="5858F2AE" w14:textId="77777777" w:rsidR="00BA6858" w:rsidRDefault="00BA6858" w:rsidP="0048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80480"/>
      <w:docPartObj>
        <w:docPartGallery w:val="Page Numbers (Bottom of Page)"/>
        <w:docPartUnique/>
      </w:docPartObj>
    </w:sdtPr>
    <w:sdtContent>
      <w:p w14:paraId="55225FC3" w14:textId="500493D9" w:rsidR="00487695" w:rsidRDefault="004876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9047D7" w14:textId="77777777" w:rsidR="00487695" w:rsidRDefault="00487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57E6E" w14:textId="77777777" w:rsidR="00BA6858" w:rsidRDefault="00BA6858" w:rsidP="00487695">
      <w:pPr>
        <w:spacing w:after="0" w:line="240" w:lineRule="auto"/>
      </w:pPr>
      <w:r>
        <w:separator/>
      </w:r>
    </w:p>
  </w:footnote>
  <w:footnote w:type="continuationSeparator" w:id="0">
    <w:p w14:paraId="4468B97A" w14:textId="77777777" w:rsidR="00BA6858" w:rsidRDefault="00BA6858" w:rsidP="00487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44"/>
    <w:rsid w:val="00081090"/>
    <w:rsid w:val="00093F7C"/>
    <w:rsid w:val="000B2CD0"/>
    <w:rsid w:val="000B78B2"/>
    <w:rsid w:val="0017126B"/>
    <w:rsid w:val="00194C42"/>
    <w:rsid w:val="001D3AB2"/>
    <w:rsid w:val="00232209"/>
    <w:rsid w:val="002838A6"/>
    <w:rsid w:val="002C4A85"/>
    <w:rsid w:val="003048DB"/>
    <w:rsid w:val="0038034E"/>
    <w:rsid w:val="003C2814"/>
    <w:rsid w:val="00420464"/>
    <w:rsid w:val="004440D7"/>
    <w:rsid w:val="004767E3"/>
    <w:rsid w:val="00487695"/>
    <w:rsid w:val="004941CB"/>
    <w:rsid w:val="004A51D8"/>
    <w:rsid w:val="004B50B8"/>
    <w:rsid w:val="004C6BD8"/>
    <w:rsid w:val="004F4C7C"/>
    <w:rsid w:val="00624328"/>
    <w:rsid w:val="006821AD"/>
    <w:rsid w:val="006852CA"/>
    <w:rsid w:val="00876E2C"/>
    <w:rsid w:val="00896722"/>
    <w:rsid w:val="008B2D38"/>
    <w:rsid w:val="008C551C"/>
    <w:rsid w:val="00925ECB"/>
    <w:rsid w:val="00927CEF"/>
    <w:rsid w:val="00A1528A"/>
    <w:rsid w:val="00A35BBE"/>
    <w:rsid w:val="00AB2844"/>
    <w:rsid w:val="00AF447A"/>
    <w:rsid w:val="00AF623F"/>
    <w:rsid w:val="00B2419D"/>
    <w:rsid w:val="00B253A3"/>
    <w:rsid w:val="00B85106"/>
    <w:rsid w:val="00BA5764"/>
    <w:rsid w:val="00BA6858"/>
    <w:rsid w:val="00C26964"/>
    <w:rsid w:val="00CC41AD"/>
    <w:rsid w:val="00D109A9"/>
    <w:rsid w:val="00D234A8"/>
    <w:rsid w:val="00D63C47"/>
    <w:rsid w:val="00DD77E0"/>
    <w:rsid w:val="00E6712D"/>
    <w:rsid w:val="00E75E70"/>
    <w:rsid w:val="00E96479"/>
    <w:rsid w:val="00EA79B0"/>
    <w:rsid w:val="00EE0FFB"/>
    <w:rsid w:val="00EE4966"/>
    <w:rsid w:val="00F34359"/>
    <w:rsid w:val="00F434BC"/>
    <w:rsid w:val="00F47FCA"/>
    <w:rsid w:val="00F8796A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9371"/>
  <w15:chartTrackingRefBased/>
  <w15:docId w15:val="{F6D3E1F3-E8C4-4B14-924D-AEBA26D1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209"/>
  </w:style>
  <w:style w:type="paragraph" w:styleId="Nagwek1">
    <w:name w:val="heading 1"/>
    <w:basedOn w:val="Normalny"/>
    <w:next w:val="Normalny"/>
    <w:link w:val="Nagwek1Znak"/>
    <w:uiPriority w:val="9"/>
    <w:qFormat/>
    <w:rsid w:val="00AB2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2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2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2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2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2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2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2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2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2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8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28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28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28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28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28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2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2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2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2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2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28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28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28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2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28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28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28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844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844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59"/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59"/>
    <w:rPr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695"/>
  </w:style>
  <w:style w:type="paragraph" w:styleId="Stopka">
    <w:name w:val="footer"/>
    <w:basedOn w:val="Normalny"/>
    <w:link w:val="Stopka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Gajda</dc:creator>
  <cp:keywords/>
  <dc:description/>
  <cp:lastModifiedBy>Katarzyna Banaszak</cp:lastModifiedBy>
  <cp:revision>28</cp:revision>
  <dcterms:created xsi:type="dcterms:W3CDTF">2025-12-19T07:48:00Z</dcterms:created>
  <dcterms:modified xsi:type="dcterms:W3CDTF">2026-01-05T17:45:00Z</dcterms:modified>
</cp:coreProperties>
</file>